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18"/>
        <w:tblW w:w="10314"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1E0" w:firstRow="1" w:lastRow="1" w:firstColumn="1" w:lastColumn="1" w:noHBand="0" w:noVBand="0"/>
      </w:tblPr>
      <w:tblGrid>
        <w:gridCol w:w="4428"/>
        <w:gridCol w:w="358"/>
        <w:gridCol w:w="5528"/>
      </w:tblGrid>
      <w:tr w:rsidR="005B4C00" w:rsidRPr="00E07044" w:rsidTr="001C2590">
        <w:trPr>
          <w:cantSplit/>
          <w:trHeight w:val="1084"/>
        </w:trPr>
        <w:tc>
          <w:tcPr>
            <w:tcW w:w="4428" w:type="dxa"/>
            <w:tcBorders>
              <w:top w:val="nil"/>
              <w:left w:val="nil"/>
              <w:bottom w:val="nil"/>
              <w:right w:val="nil"/>
            </w:tcBorders>
          </w:tcPr>
          <w:p w:rsidR="005B4C00" w:rsidRPr="00E07044" w:rsidRDefault="005B4C00" w:rsidP="001C2590">
            <w:pPr>
              <w:jc w:val="center"/>
              <w:rPr>
                <w:b/>
                <w:lang w:val="kk-KZ"/>
              </w:rPr>
            </w:pPr>
          </w:p>
          <w:p w:rsidR="005B4C00" w:rsidRPr="00E07044" w:rsidRDefault="005B4C00" w:rsidP="001C2590">
            <w:pPr>
              <w:jc w:val="center"/>
              <w:rPr>
                <w:b/>
                <w:lang w:val="kk-KZ"/>
              </w:rPr>
            </w:pPr>
            <w:r w:rsidRPr="00E07044">
              <w:rPr>
                <w:b/>
                <w:lang w:val="kk-KZ"/>
              </w:rPr>
              <w:t>Қостанай облысы әкімдігінің Білім басқармасының Амангелді ауданы білім бөлімінің «Қаламқас» бөбекжайы КМҚК</w:t>
            </w:r>
          </w:p>
          <w:p w:rsidR="005B4C00" w:rsidRPr="00E07044" w:rsidRDefault="005B4C00" w:rsidP="001C2590">
            <w:pPr>
              <w:jc w:val="center"/>
              <w:rPr>
                <w:b/>
                <w:lang w:val="kk-KZ"/>
              </w:rPr>
            </w:pPr>
          </w:p>
        </w:tc>
        <w:tc>
          <w:tcPr>
            <w:tcW w:w="358" w:type="dxa"/>
            <w:vMerge w:val="restart"/>
            <w:tcBorders>
              <w:top w:val="nil"/>
              <w:left w:val="nil"/>
              <w:bottom w:val="thinThickSmallGap" w:sz="12" w:space="0" w:color="auto"/>
              <w:right w:val="nil"/>
            </w:tcBorders>
          </w:tcPr>
          <w:p w:rsidR="005B4C00" w:rsidRPr="00E07044" w:rsidRDefault="005B4C00" w:rsidP="001C2590">
            <w:pPr>
              <w:tabs>
                <w:tab w:val="left" w:pos="1133"/>
              </w:tabs>
              <w:rPr>
                <w:lang w:val="kk-KZ"/>
              </w:rPr>
            </w:pPr>
          </w:p>
        </w:tc>
        <w:tc>
          <w:tcPr>
            <w:tcW w:w="5528" w:type="dxa"/>
            <w:tcBorders>
              <w:top w:val="nil"/>
              <w:left w:val="nil"/>
              <w:bottom w:val="nil"/>
              <w:right w:val="nil"/>
            </w:tcBorders>
          </w:tcPr>
          <w:p w:rsidR="005B4C00" w:rsidRPr="00E07044" w:rsidRDefault="005B4C00" w:rsidP="001C2590">
            <w:pPr>
              <w:ind w:left="-250"/>
              <w:rPr>
                <w:b/>
                <w:lang w:val="kk-KZ"/>
              </w:rPr>
            </w:pPr>
            <w:r w:rsidRPr="00E07044">
              <w:rPr>
                <w:b/>
                <w:lang w:val="kk-KZ"/>
              </w:rPr>
              <w:t>Г</w:t>
            </w:r>
          </w:p>
          <w:p w:rsidR="005B4C00" w:rsidRPr="00E07044" w:rsidRDefault="005B4C00" w:rsidP="001C2590">
            <w:pPr>
              <w:ind w:left="-250"/>
              <w:jc w:val="center"/>
              <w:rPr>
                <w:b/>
                <w:lang w:val="kk-KZ"/>
              </w:rPr>
            </w:pPr>
            <w:r w:rsidRPr="00E07044">
              <w:rPr>
                <w:b/>
                <w:lang w:val="kk-KZ"/>
              </w:rPr>
              <w:t>КГКП « Ясли- сад «Каламкас»</w:t>
            </w:r>
          </w:p>
          <w:p w:rsidR="005B4C00" w:rsidRPr="00E07044" w:rsidRDefault="005B4C00" w:rsidP="001C2590">
            <w:pPr>
              <w:tabs>
                <w:tab w:val="left" w:pos="-108"/>
              </w:tabs>
              <w:ind w:left="-817" w:right="-156"/>
              <w:jc w:val="center"/>
              <w:rPr>
                <w:b/>
                <w:lang w:val="kk-KZ"/>
              </w:rPr>
            </w:pPr>
            <w:r w:rsidRPr="00E07044">
              <w:rPr>
                <w:b/>
                <w:lang w:val="kk-KZ"/>
              </w:rPr>
              <w:t xml:space="preserve">Отдела образования  </w:t>
            </w:r>
          </w:p>
          <w:p w:rsidR="005B4C00" w:rsidRPr="00E07044" w:rsidRDefault="005B4C00" w:rsidP="001C2590">
            <w:pPr>
              <w:tabs>
                <w:tab w:val="left" w:pos="-108"/>
              </w:tabs>
              <w:ind w:left="-817" w:right="-156"/>
              <w:jc w:val="center"/>
              <w:rPr>
                <w:b/>
                <w:lang w:val="kk-KZ"/>
              </w:rPr>
            </w:pPr>
            <w:r w:rsidRPr="00E07044">
              <w:rPr>
                <w:b/>
                <w:lang w:val="kk-KZ"/>
              </w:rPr>
              <w:t xml:space="preserve">Амангельдинского района </w:t>
            </w:r>
          </w:p>
          <w:p w:rsidR="005B4C00" w:rsidRPr="00E07044" w:rsidRDefault="005B4C00" w:rsidP="001C2590">
            <w:pPr>
              <w:tabs>
                <w:tab w:val="left" w:pos="-108"/>
              </w:tabs>
              <w:ind w:left="-817" w:right="-156"/>
              <w:jc w:val="center"/>
              <w:rPr>
                <w:b/>
                <w:lang w:val="kk-KZ"/>
              </w:rPr>
            </w:pPr>
            <w:r w:rsidRPr="00E07044">
              <w:rPr>
                <w:b/>
                <w:lang w:val="kk-KZ"/>
              </w:rPr>
              <w:t>Управления образования</w:t>
            </w:r>
          </w:p>
          <w:p w:rsidR="005B4C00" w:rsidRPr="00E07044" w:rsidRDefault="005B4C00" w:rsidP="001C2590">
            <w:pPr>
              <w:tabs>
                <w:tab w:val="left" w:pos="-108"/>
              </w:tabs>
              <w:ind w:left="-817" w:right="-156"/>
              <w:jc w:val="center"/>
              <w:rPr>
                <w:b/>
                <w:lang w:val="kk-KZ"/>
              </w:rPr>
            </w:pPr>
            <w:r w:rsidRPr="00E07044">
              <w:rPr>
                <w:b/>
                <w:lang w:val="kk-KZ"/>
              </w:rPr>
              <w:t xml:space="preserve"> акимата Костанайской области</w:t>
            </w:r>
          </w:p>
          <w:p w:rsidR="005B4C00" w:rsidRPr="00E07044" w:rsidRDefault="005B4C00" w:rsidP="001C2590">
            <w:pPr>
              <w:tabs>
                <w:tab w:val="left" w:pos="1905"/>
              </w:tabs>
              <w:rPr>
                <w:b/>
                <w:lang w:val="kk-KZ"/>
              </w:rPr>
            </w:pPr>
            <w:r w:rsidRPr="00E07044">
              <w:rPr>
                <w:lang w:val="kk-KZ"/>
              </w:rPr>
              <w:tab/>
            </w:r>
          </w:p>
        </w:tc>
      </w:tr>
      <w:tr w:rsidR="005B4C00" w:rsidRPr="00E07044" w:rsidTr="001C2590">
        <w:trPr>
          <w:cantSplit/>
          <w:trHeight w:val="983"/>
        </w:trPr>
        <w:tc>
          <w:tcPr>
            <w:tcW w:w="4428" w:type="dxa"/>
            <w:tcBorders>
              <w:top w:val="nil"/>
              <w:left w:val="nil"/>
              <w:bottom w:val="thinThickSmallGap" w:sz="12" w:space="0" w:color="auto"/>
              <w:right w:val="nil"/>
            </w:tcBorders>
          </w:tcPr>
          <w:p w:rsidR="005B4C00" w:rsidRPr="00E07044" w:rsidRDefault="005B4C00" w:rsidP="001C2590">
            <w:pPr>
              <w:keepNext/>
              <w:jc w:val="center"/>
              <w:outlineLvl w:val="7"/>
              <w:rPr>
                <w:bCs/>
                <w:snapToGrid w:val="0"/>
                <w:sz w:val="18"/>
                <w:lang w:val="kk-KZ"/>
              </w:rPr>
            </w:pPr>
            <w:r w:rsidRPr="00E07044">
              <w:rPr>
                <w:bCs/>
                <w:snapToGrid w:val="0"/>
                <w:sz w:val="18"/>
                <w:lang w:val="kk-KZ"/>
              </w:rPr>
              <w:t>110200, Қостанай  облысы Аманкелді ауданы</w:t>
            </w:r>
          </w:p>
          <w:p w:rsidR="005B4C00" w:rsidRPr="00E07044" w:rsidRDefault="005B4C00" w:rsidP="001C2590">
            <w:pPr>
              <w:keepNext/>
              <w:jc w:val="center"/>
              <w:outlineLvl w:val="7"/>
              <w:rPr>
                <w:snapToGrid w:val="0"/>
                <w:sz w:val="18"/>
                <w:szCs w:val="18"/>
                <w:lang w:val="kk-KZ"/>
              </w:rPr>
            </w:pPr>
            <w:r w:rsidRPr="00E07044">
              <w:rPr>
                <w:b/>
                <w:snapToGrid w:val="0"/>
                <w:sz w:val="18"/>
                <w:szCs w:val="18"/>
                <w:lang w:val="kk-KZ"/>
              </w:rPr>
              <w:t xml:space="preserve"> </w:t>
            </w:r>
            <w:r w:rsidRPr="00E07044">
              <w:rPr>
                <w:snapToGrid w:val="0"/>
                <w:sz w:val="18"/>
                <w:szCs w:val="18"/>
                <w:lang w:val="kk-KZ"/>
              </w:rPr>
              <w:t>Б.Майлин көшесі 26,</w:t>
            </w:r>
          </w:p>
          <w:p w:rsidR="005B4C00" w:rsidRPr="00E07044" w:rsidRDefault="005B4C00" w:rsidP="001C2590">
            <w:pPr>
              <w:jc w:val="center"/>
              <w:rPr>
                <w:sz w:val="18"/>
                <w:szCs w:val="18"/>
                <w:lang w:val="kk-KZ"/>
              </w:rPr>
            </w:pPr>
            <w:r w:rsidRPr="00E07044">
              <w:rPr>
                <w:sz w:val="18"/>
                <w:szCs w:val="18"/>
                <w:lang w:val="kk-KZ"/>
              </w:rPr>
              <w:t>Тел.(8714-40) 22-0-70</w:t>
            </w:r>
          </w:p>
        </w:tc>
        <w:tc>
          <w:tcPr>
            <w:tcW w:w="358" w:type="dxa"/>
            <w:vMerge/>
            <w:tcBorders>
              <w:top w:val="nil"/>
              <w:left w:val="nil"/>
              <w:bottom w:val="thinThickSmallGap" w:sz="12" w:space="0" w:color="auto"/>
              <w:right w:val="nil"/>
            </w:tcBorders>
            <w:vAlign w:val="center"/>
          </w:tcPr>
          <w:p w:rsidR="005B4C00" w:rsidRPr="00E07044" w:rsidRDefault="005B4C00" w:rsidP="001C2590">
            <w:pPr>
              <w:rPr>
                <w:b/>
                <w:sz w:val="16"/>
              </w:rPr>
            </w:pPr>
          </w:p>
        </w:tc>
        <w:tc>
          <w:tcPr>
            <w:tcW w:w="5528" w:type="dxa"/>
            <w:tcBorders>
              <w:top w:val="nil"/>
              <w:left w:val="nil"/>
              <w:bottom w:val="thinThickSmallGap" w:sz="12" w:space="0" w:color="auto"/>
              <w:right w:val="nil"/>
            </w:tcBorders>
          </w:tcPr>
          <w:p w:rsidR="005B4C00" w:rsidRPr="00E07044" w:rsidRDefault="005B4C00" w:rsidP="001C2590">
            <w:pPr>
              <w:ind w:right="-108"/>
              <w:jc w:val="center"/>
              <w:rPr>
                <w:sz w:val="18"/>
                <w:szCs w:val="18"/>
              </w:rPr>
            </w:pPr>
            <w:r w:rsidRPr="00E07044">
              <w:rPr>
                <w:sz w:val="18"/>
                <w:szCs w:val="18"/>
                <w:lang w:val="ru-MO"/>
              </w:rPr>
              <w:t>110200</w:t>
            </w:r>
            <w:r w:rsidRPr="00E07044">
              <w:rPr>
                <w:sz w:val="18"/>
                <w:szCs w:val="18"/>
              </w:rPr>
              <w:t xml:space="preserve">, </w:t>
            </w:r>
            <w:proofErr w:type="spellStart"/>
            <w:r w:rsidRPr="00E07044">
              <w:rPr>
                <w:sz w:val="18"/>
                <w:szCs w:val="18"/>
              </w:rPr>
              <w:t>Костанай</w:t>
            </w:r>
            <w:proofErr w:type="spellEnd"/>
            <w:r w:rsidRPr="00E07044">
              <w:rPr>
                <w:sz w:val="18"/>
                <w:szCs w:val="18"/>
                <w:lang w:val="kk-KZ"/>
              </w:rPr>
              <w:t>ская область</w:t>
            </w:r>
            <w:r w:rsidRPr="00E07044">
              <w:rPr>
                <w:sz w:val="18"/>
                <w:szCs w:val="18"/>
              </w:rPr>
              <w:t xml:space="preserve">, </w:t>
            </w:r>
            <w:r w:rsidRPr="00E07044">
              <w:rPr>
                <w:sz w:val="18"/>
                <w:szCs w:val="18"/>
                <w:lang w:val="kk-KZ"/>
              </w:rPr>
              <w:t>Амангельдинский район</w:t>
            </w:r>
          </w:p>
          <w:p w:rsidR="005B4C00" w:rsidRPr="00E07044" w:rsidRDefault="005B4C00" w:rsidP="001C2590">
            <w:pPr>
              <w:jc w:val="center"/>
              <w:rPr>
                <w:sz w:val="18"/>
                <w:szCs w:val="18"/>
                <w:lang w:val="kk-KZ"/>
              </w:rPr>
            </w:pPr>
            <w:r w:rsidRPr="00E07044">
              <w:rPr>
                <w:sz w:val="18"/>
                <w:szCs w:val="18"/>
                <w:lang w:val="kk-KZ"/>
              </w:rPr>
              <w:t>улица Б.Майлина 26</w:t>
            </w:r>
          </w:p>
          <w:p w:rsidR="005B4C00" w:rsidRPr="00E07044" w:rsidRDefault="005B4C00" w:rsidP="001C2590">
            <w:pPr>
              <w:jc w:val="center"/>
              <w:rPr>
                <w:sz w:val="18"/>
                <w:szCs w:val="18"/>
              </w:rPr>
            </w:pPr>
            <w:r w:rsidRPr="00E07044">
              <w:rPr>
                <w:sz w:val="18"/>
                <w:szCs w:val="18"/>
                <w:lang w:val="kk-KZ"/>
              </w:rPr>
              <w:t>8ел. (8714-40) 22-0-70</w:t>
            </w:r>
          </w:p>
        </w:tc>
      </w:tr>
    </w:tbl>
    <w:p w:rsidR="005B4C00" w:rsidRDefault="005B4C00" w:rsidP="005B4C00">
      <w:pPr>
        <w:tabs>
          <w:tab w:val="left" w:pos="3057"/>
        </w:tabs>
        <w:rPr>
          <w:b/>
          <w:sz w:val="28"/>
          <w:szCs w:val="28"/>
          <w:lang w:val="kk-KZ"/>
        </w:rPr>
      </w:pPr>
      <w:r>
        <w:rPr>
          <w:b/>
          <w:sz w:val="28"/>
          <w:szCs w:val="28"/>
          <w:lang w:val="kk-KZ"/>
        </w:rPr>
        <w:t xml:space="preserve">Амангелді ауылы </w:t>
      </w:r>
      <w:r w:rsidRPr="00A04B17">
        <w:rPr>
          <w:b/>
          <w:sz w:val="28"/>
          <w:szCs w:val="28"/>
          <w:lang w:val="kk-KZ"/>
        </w:rPr>
        <w:t xml:space="preserve">         </w:t>
      </w:r>
      <w:r>
        <w:rPr>
          <w:b/>
          <w:sz w:val="28"/>
          <w:szCs w:val="28"/>
          <w:lang w:val="kk-KZ"/>
        </w:rPr>
        <w:t xml:space="preserve">                     </w:t>
      </w:r>
      <w:r w:rsidRPr="00A04B17">
        <w:rPr>
          <w:b/>
          <w:sz w:val="28"/>
          <w:szCs w:val="28"/>
          <w:lang w:val="kk-KZ"/>
        </w:rPr>
        <w:t xml:space="preserve">   </w:t>
      </w:r>
      <w:r>
        <w:rPr>
          <w:b/>
          <w:sz w:val="28"/>
          <w:szCs w:val="28"/>
          <w:lang w:val="kk-KZ"/>
        </w:rPr>
        <w:t xml:space="preserve">                    </w:t>
      </w:r>
      <w:r w:rsidRPr="00A04B17">
        <w:rPr>
          <w:b/>
          <w:sz w:val="28"/>
          <w:szCs w:val="28"/>
          <w:lang w:val="kk-KZ"/>
        </w:rPr>
        <w:t>«</w:t>
      </w:r>
      <w:r>
        <w:rPr>
          <w:b/>
          <w:sz w:val="28"/>
          <w:szCs w:val="28"/>
          <w:lang w:val="kk-KZ"/>
        </w:rPr>
        <w:t>20</w:t>
      </w:r>
      <w:r w:rsidRPr="00A04B17">
        <w:rPr>
          <w:b/>
          <w:sz w:val="28"/>
          <w:szCs w:val="28"/>
          <w:lang w:val="kk-KZ"/>
        </w:rPr>
        <w:t>»</w:t>
      </w:r>
      <w:r>
        <w:rPr>
          <w:b/>
          <w:sz w:val="28"/>
          <w:szCs w:val="28"/>
          <w:lang w:val="kk-KZ"/>
        </w:rPr>
        <w:t xml:space="preserve"> қыркүйек  2023 </w:t>
      </w:r>
      <w:r w:rsidRPr="00A04B17">
        <w:rPr>
          <w:b/>
          <w:sz w:val="28"/>
          <w:szCs w:val="28"/>
          <w:lang w:val="kk-KZ"/>
        </w:rPr>
        <w:t xml:space="preserve"> ж</w:t>
      </w:r>
      <w:r>
        <w:rPr>
          <w:b/>
          <w:sz w:val="28"/>
          <w:szCs w:val="28"/>
          <w:lang w:val="kk-KZ"/>
        </w:rPr>
        <w:t>ыл</w:t>
      </w:r>
    </w:p>
    <w:p w:rsidR="005B4C00" w:rsidRDefault="005B4C00" w:rsidP="005B4C00">
      <w:pPr>
        <w:tabs>
          <w:tab w:val="left" w:pos="3057"/>
        </w:tabs>
        <w:rPr>
          <w:b/>
          <w:sz w:val="28"/>
          <w:szCs w:val="28"/>
          <w:lang w:val="kk-KZ"/>
        </w:rPr>
      </w:pPr>
      <w:r>
        <w:rPr>
          <w:b/>
          <w:sz w:val="28"/>
          <w:szCs w:val="28"/>
          <w:lang w:val="kk-KZ"/>
        </w:rPr>
        <w:t xml:space="preserve">                                                  Бұйрық №</w:t>
      </w:r>
    </w:p>
    <w:p w:rsidR="005B4C00" w:rsidRDefault="005B4C00" w:rsidP="005B4C00">
      <w:pPr>
        <w:tabs>
          <w:tab w:val="left" w:pos="3057"/>
        </w:tabs>
        <w:rPr>
          <w:b/>
          <w:sz w:val="28"/>
          <w:szCs w:val="28"/>
          <w:lang w:val="kk-KZ"/>
        </w:rPr>
      </w:pPr>
    </w:p>
    <w:p w:rsidR="005B4C00" w:rsidRDefault="005B4C00" w:rsidP="005B4C00">
      <w:pPr>
        <w:tabs>
          <w:tab w:val="left" w:pos="3057"/>
        </w:tabs>
        <w:rPr>
          <w:sz w:val="28"/>
          <w:szCs w:val="28"/>
          <w:lang w:val="kk-KZ"/>
        </w:rPr>
      </w:pPr>
      <w:r>
        <w:rPr>
          <w:sz w:val="28"/>
          <w:szCs w:val="28"/>
          <w:lang w:val="kk-KZ"/>
        </w:rPr>
        <w:t>Қостанай облысы әкімдігінің</w:t>
      </w:r>
    </w:p>
    <w:p w:rsidR="005B4C00" w:rsidRDefault="005B4C00" w:rsidP="005B4C00">
      <w:pPr>
        <w:tabs>
          <w:tab w:val="left" w:pos="3057"/>
        </w:tabs>
        <w:rPr>
          <w:sz w:val="28"/>
          <w:szCs w:val="28"/>
          <w:lang w:val="kk-KZ"/>
        </w:rPr>
      </w:pPr>
      <w:r>
        <w:rPr>
          <w:sz w:val="28"/>
          <w:szCs w:val="28"/>
          <w:lang w:val="kk-KZ"/>
        </w:rPr>
        <w:t>білім басқармасының Амангелді</w:t>
      </w:r>
    </w:p>
    <w:p w:rsidR="005B4C00" w:rsidRDefault="005B4C00" w:rsidP="005B4C00">
      <w:pPr>
        <w:tabs>
          <w:tab w:val="left" w:pos="3057"/>
        </w:tabs>
        <w:rPr>
          <w:sz w:val="28"/>
          <w:szCs w:val="28"/>
          <w:lang w:val="kk-KZ"/>
        </w:rPr>
      </w:pPr>
      <w:r>
        <w:rPr>
          <w:sz w:val="28"/>
          <w:szCs w:val="28"/>
          <w:lang w:val="kk-KZ"/>
        </w:rPr>
        <w:t>ауданы білім бөлімінің «Қаламқас»</w:t>
      </w:r>
    </w:p>
    <w:p w:rsidR="005B4C00" w:rsidRDefault="005B4C00" w:rsidP="005B4C00">
      <w:pPr>
        <w:tabs>
          <w:tab w:val="left" w:pos="3057"/>
        </w:tabs>
        <w:rPr>
          <w:sz w:val="28"/>
          <w:szCs w:val="28"/>
          <w:lang w:val="kk-KZ"/>
        </w:rPr>
      </w:pPr>
      <w:r>
        <w:rPr>
          <w:sz w:val="28"/>
          <w:szCs w:val="28"/>
          <w:lang w:val="kk-KZ"/>
        </w:rPr>
        <w:t>бөбекжайы КМҚК қызметіндегі</w:t>
      </w:r>
    </w:p>
    <w:p w:rsidR="005B4C00" w:rsidRDefault="005B4C00" w:rsidP="005B4C00">
      <w:pPr>
        <w:tabs>
          <w:tab w:val="left" w:pos="3057"/>
        </w:tabs>
        <w:rPr>
          <w:sz w:val="28"/>
          <w:szCs w:val="28"/>
          <w:lang w:val="kk-KZ"/>
        </w:rPr>
      </w:pPr>
      <w:r>
        <w:rPr>
          <w:sz w:val="28"/>
          <w:szCs w:val="28"/>
          <w:lang w:val="kk-KZ"/>
        </w:rPr>
        <w:t>сыбайлас жемқорлық тәуекелдеріне</w:t>
      </w:r>
    </w:p>
    <w:p w:rsidR="005B4C00" w:rsidRDefault="005B4C00" w:rsidP="005B4C00">
      <w:pPr>
        <w:tabs>
          <w:tab w:val="left" w:pos="3057"/>
        </w:tabs>
        <w:rPr>
          <w:sz w:val="28"/>
          <w:szCs w:val="28"/>
          <w:lang w:val="kk-KZ"/>
        </w:rPr>
      </w:pPr>
      <w:r>
        <w:rPr>
          <w:sz w:val="28"/>
          <w:szCs w:val="28"/>
          <w:lang w:val="kk-KZ"/>
        </w:rPr>
        <w:t>ішкі талдау жүргізу туралы</w:t>
      </w:r>
    </w:p>
    <w:p w:rsidR="005B4C00" w:rsidRDefault="005B4C00" w:rsidP="005B4C00">
      <w:pPr>
        <w:tabs>
          <w:tab w:val="left" w:pos="3057"/>
        </w:tabs>
        <w:rPr>
          <w:sz w:val="28"/>
          <w:szCs w:val="28"/>
          <w:lang w:val="kk-KZ"/>
        </w:rPr>
      </w:pPr>
    </w:p>
    <w:p w:rsidR="005B4C00" w:rsidRDefault="005B4C00" w:rsidP="005B4C00">
      <w:pPr>
        <w:tabs>
          <w:tab w:val="left" w:pos="3057"/>
        </w:tabs>
        <w:rPr>
          <w:sz w:val="28"/>
          <w:szCs w:val="28"/>
          <w:lang w:val="kk-KZ"/>
        </w:rPr>
      </w:pPr>
      <w:r>
        <w:rPr>
          <w:sz w:val="28"/>
          <w:szCs w:val="28"/>
          <w:lang w:val="kk-KZ"/>
        </w:rPr>
        <w:t xml:space="preserve">«Сыбайлас жемқорлыққа қарсы іс-қимыл туралы «Қазақстан республикасының 2015 жылғы 18 қарашадағы заңының 8-бабының 5- тармағына Қазақстан республикасының (Сыбайлас жемқорлыққа қарсы қызмет ) 2022 жылғы 30 желтоқсандағы № 488 бекіткен сыбайлас жемқорлық тәуекелдеріне ішкі талдау жүргізу жөніндегі әдістемелік ұсынымдарға сәйкес, сыбайлас жемқорлық тәуекелдеріне ішкі талдау жүргізу жөніндегі әдістемелік ұсынымдарға сәйкес, сыбайлас жемқорлық тәуекелдеріне ішкі талдау жүргізудуң үлгілік қағидаларына сәйкес </w:t>
      </w:r>
      <w:r w:rsidRPr="0083439D">
        <w:rPr>
          <w:b/>
          <w:sz w:val="28"/>
          <w:szCs w:val="28"/>
          <w:lang w:val="kk-KZ"/>
        </w:rPr>
        <w:t>БҰЙЫРАМЫН:</w:t>
      </w:r>
    </w:p>
    <w:p w:rsidR="005B4C00" w:rsidRDefault="005B4C00" w:rsidP="005B4C00">
      <w:pPr>
        <w:tabs>
          <w:tab w:val="left" w:pos="3057"/>
        </w:tabs>
        <w:rPr>
          <w:sz w:val="28"/>
          <w:szCs w:val="28"/>
          <w:lang w:val="kk-KZ"/>
        </w:rPr>
      </w:pPr>
      <w:r>
        <w:rPr>
          <w:sz w:val="28"/>
          <w:szCs w:val="28"/>
          <w:lang w:val="kk-KZ"/>
        </w:rPr>
        <w:t>1.2022жылғы 1 шілдеден 2023 жылғы 1 шілдеге дейінгі аралық сыбайлас жемқорлық тәуекелдерін талдаумен қамтылатын кезең .</w:t>
      </w:r>
    </w:p>
    <w:p w:rsidR="005B4C00" w:rsidRDefault="005B4C00" w:rsidP="005B4C00">
      <w:pPr>
        <w:tabs>
          <w:tab w:val="left" w:pos="3057"/>
        </w:tabs>
        <w:rPr>
          <w:sz w:val="28"/>
          <w:szCs w:val="28"/>
          <w:lang w:val="kk-KZ"/>
        </w:rPr>
      </w:pPr>
      <w:r>
        <w:rPr>
          <w:sz w:val="28"/>
          <w:szCs w:val="28"/>
          <w:lang w:val="kk-KZ"/>
        </w:rPr>
        <w:t>2. Сыбайлас жемқорлық тәуекелдерін ішкі талдау жүргізу мерзімі 2023 жылғы 25 қыркүйекке дейін.</w:t>
      </w:r>
    </w:p>
    <w:p w:rsidR="005B4C00" w:rsidRPr="00F51396" w:rsidRDefault="005B4C00" w:rsidP="005B4C00">
      <w:pPr>
        <w:tabs>
          <w:tab w:val="left" w:pos="3057"/>
        </w:tabs>
        <w:rPr>
          <w:sz w:val="28"/>
          <w:szCs w:val="28"/>
          <w:lang w:val="kk-KZ"/>
        </w:rPr>
      </w:pPr>
      <w:r>
        <w:rPr>
          <w:sz w:val="28"/>
          <w:szCs w:val="28"/>
          <w:lang w:val="kk-KZ"/>
        </w:rPr>
        <w:t>3.Сыбайлас жемқорлық тәуекелдеріне ішкі талдау жүргізу жөніндегі жұмыс тобының құрамы қосымшаға сәйкес бекітілсін..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3414"/>
        <w:gridCol w:w="5627"/>
      </w:tblGrid>
      <w:tr w:rsidR="005B4C00" w:rsidRPr="00316AF2" w:rsidTr="001C2590">
        <w:tc>
          <w:tcPr>
            <w:tcW w:w="534"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w:t>
            </w:r>
          </w:p>
        </w:tc>
        <w:tc>
          <w:tcPr>
            <w:tcW w:w="3543"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Аты-жөні</w:t>
            </w:r>
          </w:p>
        </w:tc>
        <w:tc>
          <w:tcPr>
            <w:tcW w:w="5935"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Қызметі</w:t>
            </w:r>
          </w:p>
        </w:tc>
      </w:tr>
      <w:tr w:rsidR="005B4C00" w:rsidRPr="00316AF2" w:rsidTr="001C2590">
        <w:tc>
          <w:tcPr>
            <w:tcW w:w="534"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1.</w:t>
            </w:r>
          </w:p>
        </w:tc>
        <w:tc>
          <w:tcPr>
            <w:tcW w:w="3543"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Мақтағанова Д.Т.</w:t>
            </w:r>
          </w:p>
        </w:tc>
        <w:tc>
          <w:tcPr>
            <w:tcW w:w="5935"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Бөбекжай меңгерушісі</w:t>
            </w:r>
          </w:p>
        </w:tc>
      </w:tr>
      <w:tr w:rsidR="005B4C00" w:rsidRPr="00316AF2" w:rsidTr="001C2590">
        <w:tc>
          <w:tcPr>
            <w:tcW w:w="534"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2.</w:t>
            </w:r>
          </w:p>
        </w:tc>
        <w:tc>
          <w:tcPr>
            <w:tcW w:w="3543"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Ақжанова Б.А.</w:t>
            </w:r>
          </w:p>
        </w:tc>
        <w:tc>
          <w:tcPr>
            <w:tcW w:w="5935"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Бөбекжай әдіскері</w:t>
            </w:r>
          </w:p>
        </w:tc>
      </w:tr>
      <w:tr w:rsidR="005B4C00" w:rsidRPr="00316AF2" w:rsidTr="001C2590">
        <w:tc>
          <w:tcPr>
            <w:tcW w:w="534"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3.</w:t>
            </w:r>
          </w:p>
        </w:tc>
        <w:tc>
          <w:tcPr>
            <w:tcW w:w="3543"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Тукенова С.Н.</w:t>
            </w:r>
          </w:p>
        </w:tc>
        <w:tc>
          <w:tcPr>
            <w:tcW w:w="5935"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Кәсіподақ төрайымы</w:t>
            </w:r>
          </w:p>
        </w:tc>
      </w:tr>
      <w:tr w:rsidR="005B4C00" w:rsidRPr="00316AF2" w:rsidTr="001C2590">
        <w:tc>
          <w:tcPr>
            <w:tcW w:w="534"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4.</w:t>
            </w:r>
          </w:p>
        </w:tc>
        <w:tc>
          <w:tcPr>
            <w:tcW w:w="3543"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Балтабекова Д.Т.</w:t>
            </w:r>
          </w:p>
        </w:tc>
        <w:tc>
          <w:tcPr>
            <w:tcW w:w="5935" w:type="dxa"/>
            <w:shd w:val="clear" w:color="auto" w:fill="auto"/>
          </w:tcPr>
          <w:p w:rsidR="005B4C00" w:rsidRPr="00316AF2" w:rsidRDefault="005B4C00" w:rsidP="001C2590">
            <w:pPr>
              <w:tabs>
                <w:tab w:val="left" w:pos="3057"/>
              </w:tabs>
              <w:rPr>
                <w:sz w:val="28"/>
                <w:szCs w:val="28"/>
                <w:lang w:val="kk-KZ"/>
              </w:rPr>
            </w:pPr>
            <w:r w:rsidRPr="00316AF2">
              <w:rPr>
                <w:sz w:val="28"/>
                <w:szCs w:val="28"/>
                <w:lang w:val="kk-KZ"/>
              </w:rPr>
              <w:t>Тәрбиеші</w:t>
            </w:r>
          </w:p>
        </w:tc>
      </w:tr>
    </w:tbl>
    <w:p w:rsidR="005B4C00" w:rsidRPr="00F51396" w:rsidRDefault="005B4C00" w:rsidP="005B4C00">
      <w:pPr>
        <w:tabs>
          <w:tab w:val="left" w:pos="3057"/>
        </w:tabs>
        <w:rPr>
          <w:sz w:val="28"/>
          <w:szCs w:val="28"/>
          <w:lang w:val="kk-KZ"/>
        </w:rPr>
      </w:pPr>
    </w:p>
    <w:p w:rsidR="005B4C00" w:rsidRPr="00A01B2D" w:rsidRDefault="005B4C00" w:rsidP="005B4C00">
      <w:pPr>
        <w:tabs>
          <w:tab w:val="left" w:pos="3057"/>
        </w:tabs>
        <w:rPr>
          <w:sz w:val="28"/>
          <w:szCs w:val="28"/>
          <w:lang w:val="kk-KZ"/>
        </w:rPr>
      </w:pPr>
      <w:r>
        <w:rPr>
          <w:sz w:val="28"/>
          <w:szCs w:val="28"/>
          <w:lang w:val="kk-KZ"/>
        </w:rPr>
        <w:t>4.Осы бұйрықтың орындалуын өзіме қалдырамын.</w:t>
      </w:r>
    </w:p>
    <w:p w:rsidR="005B4C00" w:rsidRDefault="005B4C00" w:rsidP="005B4C00">
      <w:pPr>
        <w:tabs>
          <w:tab w:val="left" w:pos="3057"/>
        </w:tabs>
        <w:rPr>
          <w:b/>
          <w:sz w:val="28"/>
          <w:szCs w:val="28"/>
          <w:lang w:val="kk-KZ"/>
        </w:rPr>
      </w:pPr>
      <w:bookmarkStart w:id="0" w:name="_GoBack"/>
      <w:bookmarkEnd w:id="0"/>
    </w:p>
    <w:p w:rsidR="005B4C00" w:rsidRDefault="005B4C00" w:rsidP="005B4C00">
      <w:pPr>
        <w:tabs>
          <w:tab w:val="left" w:pos="3057"/>
        </w:tabs>
        <w:rPr>
          <w:b/>
          <w:sz w:val="28"/>
          <w:szCs w:val="28"/>
          <w:lang w:val="kk-KZ"/>
        </w:rPr>
      </w:pPr>
    </w:p>
    <w:p w:rsidR="001D6FDF" w:rsidRPr="005B4C00" w:rsidRDefault="001D6FDF">
      <w:pPr>
        <w:rPr>
          <w:lang w:val="kk-KZ"/>
        </w:rPr>
      </w:pPr>
    </w:p>
    <w:sectPr w:rsidR="001D6FDF" w:rsidRPr="005B4C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C00"/>
    <w:rsid w:val="001D6FDF"/>
    <w:rsid w:val="005B4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C0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1</cp:revision>
  <dcterms:created xsi:type="dcterms:W3CDTF">2023-09-26T05:43:00Z</dcterms:created>
  <dcterms:modified xsi:type="dcterms:W3CDTF">2023-09-26T05:44:00Z</dcterms:modified>
</cp:coreProperties>
</file>